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rPr>
          <w:sz w:val="40"/>
        </w:rPr>
        <w:t>Michael R. Bennett</w:t>
      </w:r>
    </w:p>
    <w:p>
      <w:r>
        <w:t>Chief Actuary</w:t>
      </w:r>
    </w:p>
    <w:p>
      <w:r>
        <w:t>New York, NY | (212) 447-8932 | michael.bennett@email.com</w:t>
      </w:r>
    </w:p>
    <w:p>
      <w:r>
        <w:t>LinkedIn: linkedin.com/in/michaelrbennett</w:t>
      </w:r>
    </w:p>
    <w:p>
      <w:pPr>
        <w:pStyle w:val="Heading2"/>
      </w:pPr>
      <w:r>
        <w:br/>
        <w:t>Professional Summary</w:t>
      </w:r>
    </w:p>
    <w:p>
      <w:r>
        <w:t>Strategic and forward-thinking Chief Actuary with 5+ years of actuarial leadership, specializing in enterprise risk strategy, capital optimization, and multi-line insurance pricing. Known for building high-performing actuarial teams, steering complex valuation initiatives, and strengthening solvency metrics through rigorous forecasting and regulatory alignment. Adept at turning complex financial data into clear insights for executive and board-level decision-making.</w:t>
      </w:r>
    </w:p>
    <w:p>
      <w:pPr>
        <w:pStyle w:val="Heading2"/>
      </w:pPr>
      <w:r>
        <w:br/>
        <w:t>Professional Experience</w:t>
      </w:r>
    </w:p>
    <w:p>
      <w:r>
        <w:t>Chief Actuary – MetLife Insurance, New York, NY (Mar 2019 – Present)</w:t>
      </w:r>
    </w:p>
    <w:p>
      <w:pPr>
        <w:pStyle w:val="ListBullet"/>
      </w:pPr>
      <w:r>
        <w:t>Direct actuarial strategy across individual life, group benefits, and annuity segments, contributing to a 14% improvement in portfolio profitability through refined pricing and reserve methodologies.</w:t>
      </w:r>
    </w:p>
    <w:p>
      <w:pPr>
        <w:pStyle w:val="ListBullet"/>
      </w:pPr>
      <w:r>
        <w:t>Lead a team of 22 actuaries and analysts, implementing review standards and workflow tools that cut model development cycles by 40% and reduced rework across projects.</w:t>
      </w:r>
    </w:p>
    <w:p>
      <w:pPr>
        <w:pStyle w:val="ListBullet"/>
      </w:pPr>
      <w:r>
        <w:t>Oversaw annual statutory and GAAP valuation on reserves exceeding $4.6B, ensuring alignment with ASOPs, NAIC guidance, GAAP, and IFRS reporting requirements.</w:t>
      </w:r>
    </w:p>
    <w:p>
      <w:pPr>
        <w:pStyle w:val="ListBullet"/>
      </w:pPr>
      <w:r>
        <w:t>Championed modernization of forecasting using Python-based risk models and dashboards, improving reliability by 22% and accelerating planning timelines.</w:t>
      </w:r>
    </w:p>
    <w:p>
      <w:pPr>
        <w:pStyle w:val="ListBullet"/>
      </w:pPr>
      <w:r>
        <w:t>Advised leadership on reinsurance strategy supporting $310M in surplus distribution while maintaining capital ratios.</w:t>
      </w:r>
    </w:p>
    <w:p>
      <w:pPr>
        <w:pStyle w:val="Heading2"/>
      </w:pPr>
      <w:r>
        <w:br/>
        <w:t>Education</w:t>
      </w:r>
    </w:p>
    <w:p>
      <w:r>
        <w:t>Master of Science in Actuarial Science — Columbia University, NY (2017)</w:t>
      </w:r>
    </w:p>
    <w:p>
      <w:r>
        <w:t>Bachelor of Science in Mathematics &amp; Statistics — University of Michigan (2015)</w:t>
      </w:r>
    </w:p>
    <w:p>
      <w:pPr>
        <w:pStyle w:val="Heading2"/>
      </w:pPr>
      <w:r>
        <w:br/>
        <w:t>Certifications</w:t>
      </w:r>
    </w:p>
    <w:p>
      <w:r>
        <w:t>• Fellow of the Society of Actuaries (FSA)</w:t>
      </w:r>
    </w:p>
    <w:p>
      <w:r>
        <w:t>• Member, American Academy of Actuaries (MAAA)</w:t>
      </w:r>
    </w:p>
    <w:p>
      <w:pPr>
        <w:pStyle w:val="Heading2"/>
      </w:pPr>
      <w:r>
        <w:br/>
        <w:t>Technical Skills</w:t>
      </w:r>
    </w:p>
    <w:p>
      <w:r>
        <w:t>Enterprise Risk Management (ERM), Economic Capital Modeling, Prophet, Stochastic Testing, ALM, Pricing Optimization, GAAP/IFRS, ORSA, Predictive Analytics, Python, R, SQL, Power BI</w:t>
      </w:r>
    </w:p>
    <w:p>
      <w:pPr>
        <w:pStyle w:val="Heading2"/>
      </w:pPr>
      <w:r>
        <w:br/>
        <w:t>Soft Skills</w:t>
      </w:r>
    </w:p>
    <w:p>
      <w:r>
        <w:t>Executive leadership, Strategic planning, Stakeholder influence, Communication, Collaboration, Decision-making, Coaching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