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Jane Smith</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Detail-oriented Risk Analyst with over 5 years of experience in financial analysis and risk management. Proven track record in identifying potential risks and implementing effective mitigation strategies. Adept at utilizing advanced analytical tools and collaborating with cross-functional teams to drive risk assessment initiatives.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Risk Analyst</w:t>
            </w:r>
            <w:r w:rsidRPr="003F4730">
              <w:rPr>
                <w:rFonts w:ascii="Arial" w:hAnsi="Arial" w:cstheme="majorHAnsi"/>
                <w:b/>
                <w:bCs/>
                <w:color w:val="383838"/>
                <w:sz w:val="19"/>
                <w:szCs w:val="18"/>
              </w:rPr>
              <w:tab/>
              <w:t xml:space="preserve">Jan 2021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DEF Investments</w:t>
            </w:r>
            <w:r w:rsidRPr="006257AD">
              <w:rPr>
                <w:rFonts w:ascii="Arial" w:hAnsi="Arial"/>
                <w:spacing w:val="0"/>
                <w:sz w:val="19"/>
              </w:rPr>
              <w:tab/>
            </w:r>
            <w:r w:rsidRPr="006257AD">
              <w:rPr>
                <w:rFonts w:ascii="Arial" w:hAnsi="Arial"/>
                <w:color w:val="404040" w:themeColor="text1" w:themeTint="BF"/>
                <w:spacing w:val="0"/>
                <w:sz w:val="19"/>
              </w:rPr>
              <w:t xml:space="preserve">Big City,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comprehensive risk assessments that led to a 15% decrease in portfolio volatility.</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risk management frameworks that improved compliance with regulatory standards.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Junior Risk Analyst</w:t>
            </w:r>
            <w:r w:rsidRPr="003F4730">
              <w:rPr>
                <w:rFonts w:ascii="Arial" w:hAnsi="Arial" w:cstheme="majorHAnsi"/>
                <w:b/>
                <w:bCs/>
                <w:color w:val="383838"/>
                <w:sz w:val="19"/>
                <w:szCs w:val="18"/>
              </w:rPr>
              <w:tab/>
              <w:t xml:space="preserve">Jun 2018 – Dec 2020</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GHI Financial Group</w:t>
            </w:r>
            <w:r w:rsidRPr="006257AD">
              <w:rPr>
                <w:rFonts w:ascii="Arial" w:hAnsi="Arial"/>
                <w:spacing w:val="0"/>
                <w:sz w:val="19"/>
              </w:rPr>
              <w:tab/>
            </w:r>
            <w:r w:rsidRPr="006257AD">
              <w:rPr>
                <w:rFonts w:ascii="Arial" w:hAnsi="Arial"/>
                <w:color w:val="404040" w:themeColor="text1" w:themeTint="BF"/>
                <w:spacing w:val="0"/>
                <w:sz w:val="19"/>
              </w:rPr>
              <w:t xml:space="preserve">Big City,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Assisted in the analysis of market risks and the development of risk reports for senior management.</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Collaborated on cross-departmental projects to enhance risk awareness and develop training materials.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w:t>
            </w:r>
            <w:r w:rsidRPr="00CD29A1">
              <w:rPr>
                <w:rFonts w:ascii="Arial" w:hAnsi="Arial"/>
                <w:color w:val="383838"/>
                <w:sz w:val="19"/>
              </w:rPr>
              <w:tab/>
              <w:t xml:space="preserve">Jan 2018</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California</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Big City,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Risk Management Professional (CRMP) – Risk Management Society – 2019</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(987) 654-3210</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jane.smith@example.com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Big City, CA 54321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Statistical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Mitigation Strategies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Visualization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Communication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Problem Solving</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Jane Smith</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(987) 654-3210</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Big City, CA - 54321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jane.smith@example.com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