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Senior Hedge Fund Analyst with over 10 years of experience in asset management and investment strategy development. Expert in quantitative analysis and risk assessment, recognized for driving significant improvements in portfolio performance.</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Hedge Fund Analyst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OPQ Capital</w:t>
            </w:r>
            <w:r w:rsidRPr="006257AD">
              <w:rPr>
                <w:rFonts w:ascii="Arial" w:hAnsi="Arial"/>
                <w:spacing w:val="0"/>
                <w:sz w:val="19"/>
              </w:rPr>
              <w:tab/>
            </w:r>
            <w:r w:rsidRPr="006257AD">
              <w:rPr>
                <w:rFonts w:ascii="Arial" w:hAnsi="Arial"/>
                <w:color w:val="404040" w:themeColor="text1" w:themeTint="BF"/>
                <w:spacing w:val="0"/>
                <w:sz w:val="19"/>
              </w:rPr>
              <w:t xml:space="preserve">San Francisco,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in managing a $1B portfolio, achieving a 20% annualized return over the last 3 years.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proprietary risk assessment models that decreased portfolio volatility by 15%.</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Hedge Fund Analyst</w:t>
            </w:r>
            <w:r w:rsidRPr="003F4730">
              <w:rPr>
                <w:rFonts w:ascii="Arial" w:hAnsi="Arial" w:cstheme="majorHAnsi"/>
                <w:b/>
                <w:bCs/>
                <w:color w:val="383838"/>
                <w:sz w:val="19"/>
                <w:szCs w:val="18"/>
              </w:rPr>
              <w:tab/>
              <w:t xml:space="preserve">Jun 2012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RST Advisors</w:t>
            </w:r>
            <w:r w:rsidRPr="006257AD">
              <w:rPr>
                <w:rFonts w:ascii="Arial" w:hAnsi="Arial"/>
                <w:spacing w:val="0"/>
                <w:sz w:val="19"/>
              </w:rPr>
              <w:tab/>
            </w:r>
            <w:r w:rsidRPr="006257AD">
              <w:rPr>
                <w:rFonts w:ascii="Arial" w:hAnsi="Arial"/>
                <w:color w:val="404040" w:themeColor="text1" w:themeTint="BF"/>
                <w:spacing w:val="0"/>
                <w:sz w:val="19"/>
              </w:rPr>
              <w:t xml:space="preserve">San Francisco, CA</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quantitative trading strategies that generated $10M in additional revenue during tenure.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comprehensive market analysis that informed successful investment decisions, leading to a 25% increase in client assets.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Finance</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Stanford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Stanford, CA</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CFA Charterholder – CFA Institute – 2014</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San Francisco, CA 94101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Quantitative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Portfolio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Investment Strategy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Modelling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Market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Performance Evaluation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Engagement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San Francisco, CA - 94101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