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Robert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Experienced Senior Medical Laboratory Technician with over 10 years in clinical laboratory settings. Expertise in laboratory operations, staff training, and quality management, committed to delivering accurate results and enhancing laboratory efficiency.</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Medical Laboratory Technician</w:t>
            </w:r>
            <w:r w:rsidRPr="003F4730">
              <w:rPr>
                <w:rFonts w:ascii="Arial" w:hAnsi="Arial" w:cstheme="majorHAnsi"/>
                <w:b/>
                <w:bCs/>
                <w:color w:val="383838"/>
                <w:sz w:val="19"/>
                <w:szCs w:val="18"/>
              </w:rPr>
              <w:tab/>
              <w:t xml:space="preserve">Sep 2016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Los Angeles Medical Center</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Supervised a team of 10 laboratory technicians, improving workflow efficiency by 20%.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implemented new testing protocols that increased testing capacity by 30%.</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Medical Laboratory Technician</w:t>
            </w:r>
            <w:r w:rsidRPr="003F4730">
              <w:rPr>
                <w:rFonts w:ascii="Arial" w:hAnsi="Arial" w:cstheme="majorHAnsi"/>
                <w:b/>
                <w:bCs/>
                <w:color w:val="383838"/>
                <w:sz w:val="19"/>
                <w:szCs w:val="18"/>
              </w:rPr>
              <w:tab/>
              <w:t xml:space="preserve">Jan 2012 – Aug 2016</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California Health Labs</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laboratory operations including budgeting, staffing, and compliance.</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Conducted training sessions for new hires, resulting in a 25% reduction in onboarding time.</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Clinical Laboratory Science</w:t>
            </w:r>
            <w:r w:rsidRPr="00CD29A1">
              <w:rPr>
                <w:rFonts w:ascii="Arial" w:hAnsi="Arial"/>
                <w:color w:val="383838"/>
                <w:sz w:val="19"/>
              </w:rPr>
              <w:tab/>
              <w:t xml:space="preserve">Jan 2011</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California State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CLS(ASCP) Certification – American Society for Clinical Pathology – 2012</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references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Provided upon request</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654-3210</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robert.johnson@example.com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Laboratory operations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diagnostics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Staff training and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Quality assurance programs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Customer service</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Robert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654-3210</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robert.johnson@example.com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