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Linda Carter</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Dynamic and visionary instructional coordinator with over 10 years of experience in leading educational initiatives and enhancing curriculum design. Expertise in aligning instructional methods with the latest educational research to foster student success and staff development.</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Director of Instructional Services</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Seattle Public Schools</w:t>
            </w:r>
            <w:r w:rsidRPr="006257AD">
              <w:rPr>
                <w:rFonts w:ascii="Arial" w:hAnsi="Arial"/>
                <w:spacing w:val="0"/>
                <w:sz w:val="19"/>
              </w:rPr>
              <w:tab/>
            </w:r>
            <w:r w:rsidRPr="006257AD">
              <w:rPr>
                <w:rFonts w:ascii="Arial" w:hAnsi="Arial"/>
                <w:color w:val="404040" w:themeColor="text1" w:themeTint="BF"/>
                <w:spacing w:val="0"/>
                <w:sz w:val="19"/>
              </w:rPr>
              <w:t xml:space="preserve">Seattle, WA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Spearheaded district-wide curriculum reform that resulted in a 20% increase in student test scores.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a comprehensive professional development program for over 300 educators, enhancing teaching effectiveness.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Instructional Coordinator</w:t>
            </w:r>
            <w:r w:rsidRPr="003F4730">
              <w:rPr>
                <w:rFonts w:ascii="Arial" w:hAnsi="Arial" w:cstheme="majorHAnsi"/>
                <w:b/>
                <w:bCs/>
                <w:color w:val="383838"/>
                <w:sz w:val="19"/>
                <w:szCs w:val="18"/>
              </w:rPr>
              <w:tab/>
              <w:t xml:space="preserve">Aug 2013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King County Education Service District</w:t>
            </w:r>
            <w:r w:rsidRPr="006257AD">
              <w:rPr>
                <w:rFonts w:ascii="Arial" w:hAnsi="Arial"/>
                <w:spacing w:val="0"/>
                <w:sz w:val="19"/>
              </w:rPr>
              <w:tab/>
            </w:r>
            <w:r w:rsidRPr="006257AD">
              <w:rPr>
                <w:rFonts w:ascii="Arial" w:hAnsi="Arial"/>
                <w:color w:val="404040" w:themeColor="text1" w:themeTint="BF"/>
                <w:spacing w:val="0"/>
                <w:sz w:val="19"/>
              </w:rPr>
              <w:t xml:space="preserve">Seattle, WA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Designed and executed educational programs that improved student engagement by 30%.</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Collaborated with community stakeholders to secure funding for innovative educational projects.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Doctor of Education: Educational Leadership</w:t>
            </w:r>
            <w:r w:rsidRPr="00CD29A1">
              <w:rPr>
                <w:rFonts w:ascii="Arial" w:hAnsi="Arial"/>
                <w:color w:val="383838"/>
                <w:sz w:val="19"/>
              </w:rPr>
              <w:tab/>
              <w:t xml:space="preserve">Dec 2013</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Washington</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Seattle, WA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Educational Leader – National Association of Educational Leaders – 2015</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linda.carter@example.com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Seattle, WA 98101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Curriculum Innovation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Professional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Strategic Visioning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Stakeholder Collaboration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Change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Educational Technology Integration</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Linda Carter</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Seattle, WA - 98101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linda.carter@example.com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