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Senior Document Control Specialist with over 10 years of experience in creating and implementing document control systems within highly regulated industries. Expert in leading teams, ensuring compliance, and driving process improvements to enhance operational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Document Control Specialist</w:t>
            </w:r>
            <w:r w:rsidRPr="003F4730">
              <w:rPr>
                <w:rFonts w:ascii="Arial" w:hAnsi="Arial" w:cstheme="majorHAnsi"/>
                <w:b/>
                <w:bCs/>
                <w:color w:val="383838"/>
                <w:sz w:val="19"/>
                <w:szCs w:val="18"/>
              </w:rPr>
              <w:tab/>
              <w:t xml:space="preserve">May 2017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Pharmaceuticals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5 in the overhaul of document control processes, resulting in a 50% reduction in processing time.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a new electronic document management system, improving collaboration across departments.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Document Control Manager</w:t>
            </w:r>
            <w:r w:rsidRPr="003F4730">
              <w:rPr>
                <w:rFonts w:ascii="Arial" w:hAnsi="Arial" w:cstheme="majorHAnsi"/>
                <w:b/>
                <w:bCs/>
                <w:color w:val="383838"/>
                <w:sz w:val="19"/>
                <w:szCs w:val="18"/>
              </w:rPr>
              <w:tab/>
              <w:t xml:space="preserve">Jul 2012 – Apr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Engineering</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document control for projects valued at over $50 million, ensuring compliance with industry regulations.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Facilitated training sessions for over 100 employees on document control best practices, enhancing compliance rates by 35%.</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Project Management</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Columbia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Document Controller (CDC) – ECDL – 2019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Document Control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Change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Cross-Functional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Document Archiving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Audit Coordination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Process Automation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