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physician with over 5 years in family medicine, committed to providing comprehensive care and improving patient health outcomes. Proven ability to manage complex cases and lead healthcare teams effectively.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Family Medicine Physician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Jul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Madison Family Health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Madison, WI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care for a panel of over 1,500 patients, achieving a 95% patient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chronic disease management programs that improved patient adherence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Resident Physician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2015 – Jun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Madison Health System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Madison, WI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Completed rotations in internal medicine, pediatrics, and emergency medicine.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over 100 minor surgical procedures with a focus on patient safety.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Doctor of Medicine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2015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Wisconsin School of Medicine and Public Health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Madison, WI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Board Certified in Family Medicine – American Board of Family Medicine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(987) 654-3210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Madison, WI 53703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Family Medicine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Chronic Disease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Diagnostic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Electronic Health Records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Improvement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(987) 654-3210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Madison, WI - 53703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