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Cybersecurity Analyst with over 10 years of experience in designing security architectures and leading incident response teams. Expertise in risk management and compliance, with a track record of enhancing organizational security posture.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Cybersecurity Analyst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Security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analysts in incident response efforts, achieving a 40% reduction in security breaches.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security frameworks that align with NIST and ISO 27001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Cybersecurity Consultant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2014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CyberDefense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 City,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Advised clients on security best practices, enhancing their risk management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comprehensive security audits, resulting in improved compliance rates by 35%.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Cybersecurity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Metro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 City,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Information Security Manager (CISM) – ISACA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Information Systems Auditor (CISA) – ISACA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 City, TX 67890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Security Architecture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Incident Response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Threat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Vulnerability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 Forensics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Compliance Frameworks (NIST, ISO 27001)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Security Policy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 City, TX - 67890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