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Sarah Thompson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Results-oriented Senior Curriculum Developer with over 10 years of experience in educational program design and implementation. Expert in utilizing data analytics to drive curriculum improvements and enhance learner outcomes. Proven leader in fostering collaborative environments and mentoring junior developers.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Curriculum Developer</w:t>
            </w:r>
            <w:r w:rsidRPr="003F4730">
              <w:rPr>
                <w:rFonts w:ascii="Arial" w:hAnsi="Arial" w:cstheme="majorHAnsi"/>
                <w:b/>
                <w:bCs/>
                <w:color w:val="383838"/>
                <w:sz w:val="19"/>
                <w:szCs w:val="18"/>
              </w:rPr>
              <w:tab/>
              <w:t xml:space="preserve">Mar 2015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Global Education Inc.</w:t>
            </w:r>
            <w:r w:rsidRPr="006257AD">
              <w:rPr>
                <w:rFonts w:ascii="Arial" w:hAnsi="Arial"/>
                <w:spacing w:val="0"/>
                <w:sz w:val="19"/>
              </w:rPr>
              <w:tab/>
            </w:r>
            <w:r w:rsidRPr="006257AD">
              <w:rPr>
                <w:rFonts w:ascii="Arial" w:hAnsi="Arial"/>
                <w:color w:val="404040" w:themeColor="text1" w:themeTint="BF"/>
                <w:spacing w:val="0"/>
                <w:sz w:val="19"/>
              </w:rPr>
              <w:t xml:space="preserve">Seattle, WA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Spearheaded the development of a company-wide curriculum framework that improved instructional consistency across all educational programs.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Mentored and trained a team of 5 curriculum developers, resulting in a 30% increase in productivity and quality of deliverables.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Instructional Designer</w:t>
            </w:r>
            <w:r w:rsidRPr="003F4730">
              <w:rPr>
                <w:rFonts w:ascii="Arial" w:hAnsi="Arial" w:cstheme="majorHAnsi"/>
                <w:b/>
                <w:bCs/>
                <w:color w:val="383838"/>
                <w:sz w:val="19"/>
                <w:szCs w:val="18"/>
              </w:rPr>
              <w:tab/>
              <w:t xml:space="preserve">Jan 2012 – Feb 2015</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Innovative Learning Solutions</w:t>
            </w:r>
            <w:r w:rsidRPr="006257AD">
              <w:rPr>
                <w:rFonts w:ascii="Arial" w:hAnsi="Arial"/>
                <w:spacing w:val="0"/>
                <w:sz w:val="19"/>
              </w:rPr>
              <w:tab/>
            </w:r>
            <w:r w:rsidRPr="006257AD">
              <w:rPr>
                <w:rFonts w:ascii="Arial" w:hAnsi="Arial"/>
                <w:color w:val="404040" w:themeColor="text1" w:themeTint="BF"/>
                <w:spacing w:val="0"/>
                <w:sz w:val="19"/>
              </w:rPr>
              <w:t xml:space="preserve">Seattle, WA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Designed and implemented assessment strategies that aligned with curriculum objectives, increasing student performance metrics by 25%.</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Collaborated with educational stakeholders to ensure program alignment with state standards and best practices in teaching.</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Doctor of Education: Curriculum and Instruction</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Washington</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Seattle, WA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Curriculum Developer – National Board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sarah.thompson@example.com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Seattle, WA 98101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Curriculum Innovation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Data-Driven Decision Making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Stakeholder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Educational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Program Evaluation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Budget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Cross-Functional Collaboration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Change Management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Sarah Thompson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Seattle, WA - 98101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sarah.thompson@example.com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