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Michael Johnson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Accomplished Senior Credit Analyst with over 10 years of experience in credit risk assessment and management. Expertise in developing risk mitigation strategies and optimizing credit processes to enhance profitability and minimize losses.</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Senior Credit Analyst</w:t>
            </w:r>
            <w:r w:rsidRPr="003F4730">
              <w:rPr>
                <w:rFonts w:ascii="Arial" w:hAnsi="Arial" w:cstheme="majorHAnsi"/>
                <w:b/>
                <w:bCs/>
                <w:color w:val="383838"/>
                <w:sz w:val="19"/>
                <w:szCs w:val="18"/>
              </w:rPr>
              <w:tab/>
              <w:t xml:space="preserve">Jan 2018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JKL Capital</w:t>
            </w:r>
            <w:r w:rsidRPr="006257AD">
              <w:rPr>
                <w:rFonts w:ascii="Arial" w:hAnsi="Arial"/>
                <w:spacing w:val="0"/>
                <w:sz w:val="19"/>
              </w:rPr>
              <w:tab/>
            </w:r>
            <w:r w:rsidRPr="006257AD">
              <w:rPr>
                <w:rFonts w:ascii="Arial" w:hAnsi="Arial"/>
                <w:color w:val="404040" w:themeColor="text1" w:themeTint="BF"/>
                <w:spacing w:val="0"/>
                <w:sz w:val="19"/>
              </w:rPr>
              <w:t xml:space="preserve">Bigcity, TX</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Led a team of analysts in the evaluation of high-value loan applications, resulting in a 25% increase in overall portfolio performance.</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Implemented new risk assessment tools that decreased non-performing loans by 15% within the first year.</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Credit Risk Manager</w:t>
            </w:r>
            <w:r w:rsidRPr="003F4730">
              <w:rPr>
                <w:rFonts w:ascii="Arial" w:hAnsi="Arial" w:cstheme="majorHAnsi"/>
                <w:b/>
                <w:bCs/>
                <w:color w:val="383838"/>
                <w:sz w:val="19"/>
                <w:szCs w:val="18"/>
              </w:rPr>
              <w:tab/>
              <w:t xml:space="preserve">Mar 2015 – Dec 2017</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MNO Financial Corporation</w:t>
            </w:r>
            <w:r w:rsidRPr="006257AD">
              <w:rPr>
                <w:rFonts w:ascii="Arial" w:hAnsi="Arial"/>
                <w:spacing w:val="0"/>
                <w:sz w:val="19"/>
              </w:rPr>
              <w:tab/>
            </w:r>
            <w:r w:rsidRPr="006257AD">
              <w:rPr>
                <w:rFonts w:ascii="Arial" w:hAnsi="Arial"/>
                <w:color w:val="404040" w:themeColor="text1" w:themeTint="BF"/>
                <w:spacing w:val="0"/>
                <w:sz w:val="19"/>
              </w:rPr>
              <w:t xml:space="preserve">Bigcity, TX</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Managed a credit risk portfolio of over $500 million, developing strategies that improved risk-adjusted returns by 30%.</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Conducted regular training sessions for junior analysts, enhancing team capabilities in risk analysis and decision-making.</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Credit Analyst</w:t>
            </w:r>
            <w:r w:rsidRPr="003F4730">
              <w:rPr>
                <w:rFonts w:ascii="Arial" w:hAnsi="Arial" w:cstheme="majorHAnsi"/>
                <w:b/>
                <w:bCs/>
                <w:color w:val="383838"/>
                <w:sz w:val="19"/>
                <w:szCs w:val="18"/>
              </w:rPr>
              <w:tab/>
              <w:t xml:space="preserve">Jan 2013 – Feb 2015</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PQR Lending</w:t>
            </w:r>
            <w:r w:rsidRPr="006257AD">
              <w:rPr>
                <w:rFonts w:ascii="Arial" w:hAnsi="Arial"/>
                <w:spacing w:val="0"/>
                <w:sz w:val="19"/>
              </w:rPr>
              <w:tab/>
            </w:r>
            <w:r w:rsidRPr="006257AD">
              <w:rPr>
                <w:rFonts w:ascii="Arial" w:hAnsi="Arial"/>
                <w:color w:val="404040" w:themeColor="text1" w:themeTint="BF"/>
                <w:spacing w:val="0"/>
                <w:sz w:val="19"/>
              </w:rPr>
              <w:t xml:space="preserve">Bigcity, TX</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Performed detailed credit assessments for diverse client profiles, enhancing approval processes and reducing turnaround times by 40%.</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Collaborated with cross-functional teams to improve client onboarding and retention strategies.</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Master of Business Administration: Finance</w:t>
            </w:r>
            <w:r w:rsidRPr="00CD29A1">
              <w:rPr>
                <w:rFonts w:ascii="Arial" w:hAnsi="Arial"/>
                <w:color w:val="383838"/>
                <w:sz w:val="19"/>
              </w:rPr>
              <w:tab/>
              <w:t xml:space="preserve">Jan 2012</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Major University</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Bigcity, TX</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Bachelor of Science: Accounting</w:t>
            </w:r>
            <w:r w:rsidRPr="00CD29A1">
              <w:rPr>
                <w:rFonts w:ascii="Arial" w:hAnsi="Arial"/>
                <w:color w:val="383838"/>
                <w:sz w:val="19"/>
              </w:rPr>
              <w:tab/>
              <w:t xml:space="preserve">Jan 2010</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Major University</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Bigcity, TX</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Chartered Financial Analyst (CFA) – CFA Institute – 2014</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(555) 123-4567</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michael.johnson@example.com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Bigcity, TX 98765</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Credit Risk Assessment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Financial Analysis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Strategic Planning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Team Leadership</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Regulatory Compliance</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Portfolio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Data Analysis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Client Engagement</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Michael Johnson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(555) 123-4567</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Bigcity, TX - 98765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michael.johnson@example.com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