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Dynamic and accomplished Senior Clinical Social Worker with over 10 years of experience in mental health care. Expert in program development and clinical supervision, committed to enhancing the quality of services provided to clients and communities.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Senior Clinical Social Worker</w:t>
            </w:r>
            <w:r w:rsidRPr="003F4730">
              <w:rPr>
                <w:rFonts w:ascii="Arial" w:hAnsi="Arial" w:cstheme="majorHAnsi"/>
                <w:b/>
                <w:bCs/>
                <w:color w:val="383838"/>
                <w:sz w:val="19"/>
                <w:szCs w:val="18"/>
              </w:rPr>
              <w:tab/>
              <w:t xml:space="preserve">Apr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Metro Health Services</w:t>
            </w:r>
            <w:r w:rsidRPr="006257AD">
              <w:rPr>
                <w:rFonts w:ascii="Arial" w:hAnsi="Arial"/>
                <w:spacing w:val="0"/>
                <w:sz w:val="19"/>
              </w:rPr>
              <w:tab/>
            </w:r>
            <w:r w:rsidRPr="006257AD">
              <w:rPr>
                <w:rFonts w:ascii="Arial" w:hAnsi="Arial"/>
                <w:color w:val="404040" w:themeColor="text1" w:themeTint="BF"/>
                <w:spacing w:val="0"/>
                <w:sz w:val="19"/>
              </w:rPr>
              <w:t xml:space="preserve">Bigcity,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Oversaw a team of 5 social workers, enhancing service delivery and increasing client satisfaction scores by 25%.</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implemented a new mental health program for veterans, resulting in a 30% increase in program enrollment.</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Clinical Director</w:t>
            </w:r>
            <w:r w:rsidRPr="003F4730">
              <w:rPr>
                <w:rFonts w:ascii="Arial" w:hAnsi="Arial" w:cstheme="majorHAnsi"/>
                <w:b/>
                <w:bCs/>
                <w:color w:val="383838"/>
                <w:sz w:val="19"/>
                <w:szCs w:val="18"/>
              </w:rPr>
              <w:tab/>
              <w:t xml:space="preserve">Mar 2013 – Mar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Community Wellness Institute</w:t>
            </w:r>
            <w:r w:rsidRPr="006257AD">
              <w:rPr>
                <w:rFonts w:ascii="Arial" w:hAnsi="Arial"/>
                <w:spacing w:val="0"/>
                <w:sz w:val="19"/>
              </w:rPr>
              <w:tab/>
            </w:r>
            <w:r w:rsidRPr="006257AD">
              <w:rPr>
                <w:rFonts w:ascii="Arial" w:hAnsi="Arial"/>
                <w:color w:val="404040" w:themeColor="text1" w:themeTint="BF"/>
                <w:spacing w:val="0"/>
                <w:sz w:val="19"/>
              </w:rPr>
              <w:t xml:space="preserve">Bigcity, TX</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Led the clinical team in providing comprehensive mental health services, achieving a 15% reduction in hospital readmission rates.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Secured funding through grant proposals that increased program capacity by 40%.</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Doctor of Philosophy: Social Work</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University of Bigcity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Bigcity, TX</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Licensed Clinical Social Worker – State Board – 2013</w:t>
            </w:r>
            <w:r>
              <w:rPr>
                <w:rFonts w:ascii="Arial" w:hAnsi="Arial"/>
                <w:sz w:val="19"/>
              </w:rPr>
              <w:t xml:space="preserve"/>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Certified Clinical Supervisor – National Association – 2015</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(345) 678-9012</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Bigcity, TX 13579</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Clinical Supervision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Program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Trauma-Informed Care</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Advanced Psychotherapy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Grant Writing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Public Speaking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Policy Advocacy</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Interdisciplinary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 Analysis</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(345) 678-9012</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Bigcity, TX - 13579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