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Dynamic Brand Strategist with over 5 years of experience in developing and executing comprehensive brand strategies. Proven track record of enhancing brand identity and driving market penetration.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Brand Strategist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2021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Innovative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rebranding initiative that resulted in a 35% increase in brand recognition.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multi-channel marketing campaigns that generated a 50% increase in lead generation.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Marketing Coordinator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Marketing Group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on the launch of a new product line, achieving first-year sales of over $1 million.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analysis to refine brand positioning, increasing market share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New York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Brand Strategist – Brand Institute – 2020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Strategic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Digital Marketing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Consumer Insights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Competitive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Campaign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